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E6" w:rsidRDefault="002B26E6" w:rsidP="002B26E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Прокуратура Ульяновского района разъясняет</w:t>
      </w:r>
    </w:p>
    <w:p w:rsidR="002B26E6" w:rsidRDefault="002B26E6" w:rsidP="002B26E6">
      <w:pPr>
        <w:pStyle w:val="a4"/>
        <w:spacing w:before="0"/>
        <w:ind w:firstLine="618"/>
      </w:pPr>
    </w:p>
    <w:p w:rsidR="00B0004C" w:rsidRDefault="002B26E6" w:rsidP="002B26E6">
      <w:pPr>
        <w:pStyle w:val="a4"/>
        <w:spacing w:before="0"/>
        <w:ind w:firstLine="618"/>
        <w:jc w:val="center"/>
      </w:pPr>
      <w:r>
        <w:t>Последствия нарушения меры пресечения в виде подписки о невыезде и надлежащем поведении?</w:t>
      </w:r>
    </w:p>
    <w:p w:rsidR="002B26E6" w:rsidRDefault="002B26E6" w:rsidP="002B26E6">
      <w:pPr>
        <w:pStyle w:val="a4"/>
        <w:spacing w:before="0"/>
        <w:ind w:firstLine="618"/>
        <w:jc w:val="center"/>
      </w:pPr>
      <w:bookmarkStart w:id="0" w:name="_GoBack"/>
      <w:bookmarkEnd w:id="0"/>
    </w:p>
    <w:p w:rsidR="00B0004C" w:rsidRDefault="002B26E6" w:rsidP="002B26E6">
      <w:pPr>
        <w:pStyle w:val="a3"/>
        <w:spacing w:before="0"/>
        <w:ind w:right="102"/>
      </w:pPr>
      <w:r>
        <w:t>Нарушения меры пресечения в виде подписки о невыезде и надлежащем поведении регламентированы ст. 102 Уголовно- процессуального Кодекса РФ.</w:t>
      </w:r>
    </w:p>
    <w:p w:rsidR="00B0004C" w:rsidRDefault="002B26E6" w:rsidP="002B26E6">
      <w:pPr>
        <w:pStyle w:val="a3"/>
        <w:spacing w:before="0"/>
        <w:ind w:right="109"/>
      </w:pPr>
      <w:r>
        <w:t>Для обеспечения надлежащего поведения подозреваемого или обвиняемого дознаватель, следователь, а также суд вправе избрать в отношении них меру пресечения, о чём выносит постановление.</w:t>
      </w:r>
    </w:p>
    <w:p w:rsidR="00B0004C" w:rsidRDefault="002B26E6" w:rsidP="002B26E6">
      <w:pPr>
        <w:pStyle w:val="a3"/>
        <w:spacing w:before="0"/>
        <w:ind w:right="109"/>
      </w:pPr>
      <w:r>
        <w:t>Наиболее мягкой мерой пресечения является подписка о невыезде и надлежащ</w:t>
      </w:r>
      <w:r>
        <w:t>ем поведении, которая заключается в трёх обязательствах подозреваемого или обвиняемого:</w:t>
      </w:r>
    </w:p>
    <w:p w:rsidR="00B0004C" w:rsidRDefault="002B26E6" w:rsidP="002B26E6">
      <w:pPr>
        <w:pStyle w:val="a5"/>
        <w:numPr>
          <w:ilvl w:val="0"/>
          <w:numId w:val="1"/>
        </w:numPr>
        <w:tabs>
          <w:tab w:val="left" w:pos="1211"/>
        </w:tabs>
        <w:spacing w:before="0"/>
        <w:ind w:right="110" w:firstLine="707"/>
        <w:jc w:val="both"/>
        <w:rPr>
          <w:sz w:val="28"/>
        </w:rPr>
      </w:pPr>
      <w:r>
        <w:rPr>
          <w:sz w:val="28"/>
        </w:rPr>
        <w:t>Не покидать постоянное или временное место жительства без разрешения дознавателя, следователя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суда;</w:t>
      </w:r>
    </w:p>
    <w:p w:rsidR="00B0004C" w:rsidRDefault="002B26E6" w:rsidP="002B26E6">
      <w:pPr>
        <w:pStyle w:val="a5"/>
        <w:numPr>
          <w:ilvl w:val="0"/>
          <w:numId w:val="1"/>
        </w:numPr>
        <w:tabs>
          <w:tab w:val="left" w:pos="1151"/>
        </w:tabs>
        <w:spacing w:before="0"/>
        <w:ind w:firstLine="707"/>
        <w:jc w:val="both"/>
        <w:rPr>
          <w:sz w:val="28"/>
        </w:rPr>
      </w:pPr>
      <w:r>
        <w:rPr>
          <w:sz w:val="28"/>
        </w:rPr>
        <w:t>В назначенный срок являться по вызову дознавателя, следователя и</w:t>
      </w:r>
      <w:r>
        <w:rPr>
          <w:sz w:val="28"/>
        </w:rPr>
        <w:t>ли суда и уведомлять их о перемене места проживания в пределах одного населённого пункта;</w:t>
      </w:r>
    </w:p>
    <w:p w:rsidR="00B0004C" w:rsidRDefault="002B26E6" w:rsidP="002B26E6">
      <w:pPr>
        <w:pStyle w:val="a5"/>
        <w:numPr>
          <w:ilvl w:val="0"/>
          <w:numId w:val="1"/>
        </w:numPr>
        <w:tabs>
          <w:tab w:val="left" w:pos="1112"/>
        </w:tabs>
        <w:spacing w:before="0"/>
        <w:ind w:right="108" w:firstLine="707"/>
        <w:jc w:val="both"/>
        <w:rPr>
          <w:sz w:val="28"/>
        </w:rPr>
      </w:pPr>
      <w:r>
        <w:rPr>
          <w:sz w:val="28"/>
        </w:rPr>
        <w:t xml:space="preserve">Не препятствовать производству по уголовному делу (не понуждать свидетелей, потерпевших и других участников уголовного процесса к даче ложных показаний, не принимать </w:t>
      </w:r>
      <w:r>
        <w:rPr>
          <w:sz w:val="28"/>
        </w:rPr>
        <w:t>мер, направленных на уничтожение фальсификацию документов и объектов, которые могут быть в последующем признаны вещественными доказательствами, не скрывать имущество, добытое преступным путём, прекратить заниматься преступной деятельностью).</w:t>
      </w:r>
    </w:p>
    <w:p w:rsidR="00B0004C" w:rsidRDefault="002B26E6" w:rsidP="002B26E6">
      <w:pPr>
        <w:pStyle w:val="a3"/>
        <w:tabs>
          <w:tab w:val="left" w:pos="1751"/>
          <w:tab w:val="left" w:pos="2626"/>
          <w:tab w:val="left" w:pos="3763"/>
          <w:tab w:val="left" w:pos="4597"/>
          <w:tab w:val="left" w:pos="6230"/>
          <w:tab w:val="left" w:pos="6566"/>
          <w:tab w:val="left" w:pos="7564"/>
          <w:tab w:val="left" w:pos="8058"/>
        </w:tabs>
        <w:spacing w:before="0"/>
      </w:pPr>
      <w:r>
        <w:t>В</w:t>
      </w:r>
      <w:r>
        <w:rPr>
          <w:spacing w:val="17"/>
        </w:rPr>
        <w:t xml:space="preserve"> </w:t>
      </w:r>
      <w:r>
        <w:t>подписке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н</w:t>
      </w:r>
      <w:r>
        <w:t>евыезде</w:t>
      </w:r>
      <w:r>
        <w:rPr>
          <w:spacing w:val="19"/>
        </w:rPr>
        <w:t xml:space="preserve"> </w:t>
      </w:r>
      <w:r>
        <w:t>указываются</w:t>
      </w:r>
      <w:r>
        <w:rPr>
          <w:spacing w:val="19"/>
        </w:rPr>
        <w:t xml:space="preserve"> </w:t>
      </w:r>
      <w:r>
        <w:t>обстоятельства,</w:t>
      </w:r>
      <w:r>
        <w:rPr>
          <w:spacing w:val="17"/>
        </w:rPr>
        <w:t xml:space="preserve"> </w:t>
      </w:r>
      <w:r>
        <w:t>принятые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себя</w:t>
      </w:r>
      <w:r>
        <w:t xml:space="preserve"> </w:t>
      </w:r>
      <w:r>
        <w:t>подозреваемым или обвиняемым, а также уведомление</w:t>
      </w:r>
      <w:r>
        <w:rPr>
          <w:spacing w:val="3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возможности</w:t>
      </w:r>
      <w:r>
        <w:t xml:space="preserve"> </w:t>
      </w:r>
      <w:r>
        <w:t>применения</w:t>
      </w:r>
      <w:r>
        <w:tab/>
        <w:t>более</w:t>
      </w:r>
      <w:r>
        <w:tab/>
        <w:t>строгой</w:t>
      </w:r>
      <w:r>
        <w:tab/>
        <w:t>меры</w:t>
      </w:r>
      <w:r>
        <w:tab/>
        <w:t>пресечения,</w:t>
      </w:r>
      <w:r>
        <w:tab/>
        <w:t>в</w:t>
      </w:r>
      <w:r>
        <w:tab/>
        <w:t>случае</w:t>
      </w:r>
      <w:r>
        <w:tab/>
        <w:t>их</w:t>
      </w:r>
      <w:r>
        <w:tab/>
      </w:r>
      <w:r>
        <w:rPr>
          <w:spacing w:val="-1"/>
        </w:rPr>
        <w:t xml:space="preserve">нарушения. </w:t>
      </w:r>
      <w:r>
        <w:t>Указанная</w:t>
      </w:r>
      <w:r>
        <w:rPr>
          <w:spacing w:val="30"/>
        </w:rPr>
        <w:t xml:space="preserve"> </w:t>
      </w:r>
      <w:r>
        <w:t>мера</w:t>
      </w:r>
      <w:r>
        <w:rPr>
          <w:spacing w:val="30"/>
        </w:rPr>
        <w:t xml:space="preserve"> </w:t>
      </w:r>
      <w:r>
        <w:t>пресечения</w:t>
      </w:r>
      <w:r>
        <w:rPr>
          <w:spacing w:val="28"/>
        </w:rPr>
        <w:t xml:space="preserve"> </w:t>
      </w:r>
      <w:r>
        <w:t>действует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сроков</w:t>
      </w:r>
      <w:r>
        <w:rPr>
          <w:spacing w:val="27"/>
        </w:rPr>
        <w:t xml:space="preserve"> </w:t>
      </w:r>
      <w:r>
        <w:t>дознания</w:t>
      </w:r>
      <w:r>
        <w:rPr>
          <w:spacing w:val="30"/>
        </w:rPr>
        <w:t xml:space="preserve"> </w:t>
      </w:r>
      <w:r>
        <w:t>или</w:t>
      </w:r>
      <w:r>
        <w:t xml:space="preserve"> </w:t>
      </w:r>
      <w:r>
        <w:t>предвари</w:t>
      </w:r>
      <w:r>
        <w:t>тельного следствия, установленных законом, а также рассмотрения</w:t>
      </w:r>
    </w:p>
    <w:p w:rsidR="00B0004C" w:rsidRDefault="002B26E6" w:rsidP="002B26E6">
      <w:pPr>
        <w:pStyle w:val="a3"/>
        <w:spacing w:before="0"/>
        <w:ind w:right="0" w:firstLine="0"/>
      </w:pPr>
      <w:r>
        <w:t>дела в суде.</w:t>
      </w:r>
    </w:p>
    <w:p w:rsidR="00B0004C" w:rsidRDefault="002B26E6" w:rsidP="002B26E6">
      <w:pPr>
        <w:pStyle w:val="a3"/>
        <w:spacing w:before="0"/>
      </w:pPr>
      <w:r>
        <w:t>При, неисполнении подозреваемым или обвиняемым обязанностей, взятых на себя при подписании подписки о невыезде и надлежащем поведении, указанная мера пресечения может быть изменен</w:t>
      </w:r>
      <w:r>
        <w:t>а на более строгую, в том числе на заключение под стражу.</w:t>
      </w:r>
    </w:p>
    <w:sectPr w:rsidR="00B0004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0609D"/>
    <w:multiLevelType w:val="hybridMultilevel"/>
    <w:tmpl w:val="776E2770"/>
    <w:lvl w:ilvl="0" w:tplc="71F431E8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2BF8C"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D0F84B6C"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DEE204E2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B43CCE36"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A4B427BC"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B79A0B70"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16ECE4A8"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8B5853B2"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0004C"/>
    <w:rsid w:val="002B26E6"/>
    <w:rsid w:val="00B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EC07"/>
  <w15:docId w15:val="{71F54B5C-A2C4-42FB-9C31-57B8452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7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Селянко Алексей Андреевич</cp:lastModifiedBy>
  <cp:revision>2</cp:revision>
  <dcterms:created xsi:type="dcterms:W3CDTF">2023-10-25T18:40:00Z</dcterms:created>
  <dcterms:modified xsi:type="dcterms:W3CDTF">2023-10-25T18:59:00Z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